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after="60"/>
      </w:pPr>
      <w:r>
        <w:rPr>
          <w:b w:val="1"/>
          <w:bCs w:val="1"/>
        </w:rPr>
        <w:t xml:space="preserve">УТВЕРЖДАЮ</w:t>
      </w:r>
    </w:p>
    <w:p>
      <w:pPr>
        <w:jc w:val="right"/>
        <w:spacing w:after="40"/>
      </w:pPr>
      <w:r>
        <w:rPr/>
        <w:t xml:space="preserve">[ДОЛЖНОСТЬ УТВЕРЖДАЮЩЕГО]</w:t>
      </w:r>
    </w:p>
    <w:p>
      <w:pPr>
        <w:jc w:val="right"/>
        <w:spacing w:after="40"/>
      </w:pPr>
      <w:r>
        <w:rPr/>
        <w:t xml:space="preserve">[ПОЛНОЕ НАИМЕНОВАНИЕ ОРГАНИЗАЦИИ]</w:t>
      </w:r>
    </w:p>
    <w:p>
      <w:pPr>
        <w:jc w:val="right"/>
        <w:spacing w:after="40"/>
      </w:pPr>
      <w:r>
        <w:rPr/>
        <w:t xml:space="preserve">_________________ / [ФИО УТВЕРЖДАЮЩЕГО]</w:t>
      </w:r>
    </w:p>
    <w:p>
      <w:pPr>
        <w:jc w:val="right"/>
        <w:spacing w:after="40"/>
      </w:pPr>
      <w:r>
        <w:rPr/>
        <w:t xml:space="preserve">М.П.</w:t>
      </w:r>
    </w:p>
    <w:p>
      <w:pPr>
        <w:jc w:val="right"/>
        <w:spacing w:after="40"/>
      </w:pPr>
      <w:r>
        <w:rPr/>
        <w:t xml:space="preserve">[ДАТА УТВЕРЖДЕНИЯ]</w:t>
      </w:r>
    </w:p>
    <w:p>
      <w:pPr>
        <w:jc w:val="right"/>
        <w:spacing w:after="40"/>
      </w:pPr>
      <w:r>
        <w:rPr/>
        <w:t xml:space="preserve">Приказ / протокол: [НОМЕР ПРИКАЗА/ПРОТОКОЛА]</w:t>
      </w:r>
    </w:p>
    <w:p>
      <w:pPr>
        <w:jc w:val="right"/>
        <w:spacing w:after="200"/>
      </w:pPr>
      <w:r>
        <w:rPr/>
        <w:t xml:space="preserve">[НАСЕЛЁННЫЙ ПУНКТ]</w:t>
      </w:r>
    </w:p>
    <w:p>
      <w:pPr>
        <w:jc w:val="center"/>
        <w:spacing w:after="300"/>
      </w:pPr>
      <w:r>
        <w:rPr>
          <w:sz w:val="20"/>
          <w:szCs w:val="20"/>
          <w:i w:val="1"/>
          <w:iCs w:val="1"/>
        </w:rPr>
        <w:t xml:space="preserve">Проект дополнительной профессиональной программы повышения квалификации. Требует проверки и утверждения организацией.</w:t>
      </w:r>
    </w:p>
    <w:p>
      <w:pPr>
        <w:jc w:val="center"/>
        <w:spacing w:after="120"/>
      </w:pPr>
      <w:r>
        <w:rPr/>
        <w:t xml:space="preserve">[ПОЛНОЕ НАИМЕНОВАНИЕ ОРГАНИЗАЦИИ]</w:t>
      </w:r>
    </w:p>
    <w:p>
      <w:pPr>
        <w:jc w:val="center"/>
        <w:spacing w:after="40"/>
      </w:pPr>
      <w:r>
        <w:rPr>
          <w:sz w:val="24"/>
          <w:szCs w:val="24"/>
          <w:b w:val="1"/>
          <w:bCs w:val="1"/>
        </w:rPr>
        <w:t xml:space="preserve">ДОПОЛНИТЕЛЬНАЯ ПРОФЕССИОНАЛЬНАЯ ПРОГРАММА</w:t>
      </w:r>
    </w:p>
    <w:p>
      <w:pPr>
        <w:jc w:val="center"/>
        <w:spacing w:after="160"/>
      </w:pPr>
      <w:r>
        <w:rPr/>
        <w:t xml:space="preserve">повышения квалификации</w:t>
      </w:r>
    </w:p>
    <w:p>
      <w:pPr>
        <w:jc w:val="center"/>
        <w:spacing w:after="160"/>
      </w:pPr>
      <w:r>
        <w:rPr>
          <w:sz w:val="28"/>
          <w:szCs w:val="28"/>
          <w:b w:val="1"/>
          <w:bCs w:val="1"/>
        </w:rPr>
        <w:t xml:space="preserve">«Пример проекта программы повышения квалификации»</w:t>
      </w:r>
    </w:p>
    <w:p>
      <w:pPr>
        <w:jc w:val="center"/>
        <w:spacing w:after="60"/>
      </w:pPr>
      <w:r>
        <w:rPr/>
        <w:t xml:space="preserve">Объём: 36 академических часов</w:t>
      </w:r>
    </w:p>
    <w:p>
      <w:pPr>
        <w:jc w:val="center"/>
        <w:spacing w:after="60"/>
      </w:pPr>
      <w:r>
        <w:rPr/>
        <w:t xml:space="preserve">Форма обучения: blended</w:t>
      </w:r>
    </w:p>
    <w:p>
      <w:pPr>
        <w:jc w:val="center"/>
        <w:spacing w:after="120"/>
      </w:pPr>
      <w:r>
        <w:rPr>
          <w:sz w:val="22"/>
          <w:szCs w:val="22"/>
        </w:rPr>
        <w:t xml:space="preserve">По итогам успешного освоения выдаётся удостоверение о повышении квалификации установленного образца.</w:t>
      </w:r>
    </w:p>
    <w:p>
      <w:pPr>
        <w:jc w:val="center"/>
        <w:spacing w:after="300"/>
      </w:pPr>
      <w:r>
        <w:rPr>
          <w:sz w:val="22"/>
          <w:szCs w:val="22"/>
        </w:rPr>
        <w:t xml:space="preserve">Разработчик: [ФИО РАЗРАБОТЧИКА]</w:t>
      </w:r>
    </w:p>
    <w:p>
      <w:pPr>
        <w:pStyle w:val="Heading1"/>
      </w:pPr>
      <w:bookmarkStart w:id="0" w:name="_Toc0"/>
      <w:r>
        <w:t>Оглавление</w:t>
      </w:r>
      <w:bookmarkEnd w:id="0"/>
    </w:p>
    <w:p>
      <w:pPr>
        <w:spacing w:after="40"/>
      </w:pPr>
      <w:r>
        <w:rPr/>
        <w:t xml:space="preserve">1. Общая характеристика программы</w:t>
      </w:r>
    </w:p>
    <w:p>
      <w:pPr>
        <w:spacing w:after="40"/>
      </w:pPr>
      <w:r>
        <w:rPr/>
        <w:t xml:space="preserve">2. Цель и планируемые результаты обучения</w:t>
      </w:r>
    </w:p>
    <w:p>
      <w:pPr>
        <w:spacing w:after="40"/>
      </w:pPr>
      <w:r>
        <w:rPr/>
        <w:t xml:space="preserve">3. Учебный план</w:t>
      </w:r>
    </w:p>
    <w:p>
      <w:pPr>
        <w:spacing w:after="40"/>
      </w:pPr>
      <w:r>
        <w:rPr/>
        <w:t xml:space="preserve">4. Календарный учебный график</w:t>
      </w:r>
    </w:p>
    <w:p>
      <w:pPr>
        <w:spacing w:after="40"/>
      </w:pPr>
      <w:r>
        <w:rPr/>
        <w:t xml:space="preserve">5. Рабочая программа</w:t>
      </w:r>
    </w:p>
    <w:p>
      <w:pPr>
        <w:spacing w:after="40"/>
      </w:pPr>
      <w:r>
        <w:rPr/>
        <w:t xml:space="preserve">6. Формы аттестации и оценочные материалы</w:t>
      </w:r>
    </w:p>
    <w:p>
      <w:pPr>
        <w:spacing w:after="40"/>
      </w:pPr>
      <w:r>
        <w:rPr/>
        <w:t xml:space="preserve">7. Организационно-педагогические условия реализации программы</w:t>
      </w:r>
    </w:p>
    <w:p>
      <w:pPr>
        <w:spacing w:after="40"/>
      </w:pPr>
      <w:r>
        <w:rPr/>
        <w:t xml:space="preserve">8. Список литературы и информационных ресурсов</w:t>
      </w:r>
    </w:p>
    <w:p/>
    <w:p>
      <w:pPr>
        <w:pStyle w:val="Heading1"/>
      </w:pPr>
      <w:bookmarkStart w:id="1" w:name="_Toc1"/>
      <w:r>
        <w:t>1. Общая характеристика программы</w:t>
      </w:r>
      <w:bookmarkEnd w:id="1"/>
    </w:p>
    <w:p>
      <w:pPr>
        <w:spacing w:after="60"/>
      </w:pPr>
      <w:r>
        <w:rPr>
          <w:b w:val="1"/>
          <w:bCs w:val="1"/>
        </w:rPr>
        <w:t xml:space="preserve">Нормативные и методические основания</w:t>
      </w:r>
    </w:p>
    <w:p>
      <w:pPr>
        <w:spacing w:after="80"/>
      </w:pPr>
      <w:r>
        <w:rPr/>
        <w:t xml:space="preserve">Дополнительная профессиональная программа повышения квалификации «Пример проекта программы повышения квалификации» разработана в соответствии с:</w:t>
      </w:r>
    </w:p>
    <w:p>
      <w:pPr>
        <w:numPr>
          <w:ilvl w:val="0"/>
          <w:numId w:val="3"/>
        </w:numPr>
      </w:pPr>
      <w:r>
        <w:rPr/>
        <w:t xml:space="preserve">ФЗ от 29.12.2012 № 273-ФЗ «Об образовании в РФ»</w:t>
      </w:r>
    </w:p>
    <w:p>
      <w:pPr>
        <w:numPr>
          <w:ilvl w:val="0"/>
          <w:numId w:val="3"/>
        </w:numPr>
      </w:pPr>
      <w:r>
        <w:rPr/>
        <w:t xml:space="preserve">Приказ Минобрнауки России от 24.03.2025 № 266</w:t>
      </w:r>
    </w:p>
    <w:p>
      <w:pPr>
        <w:spacing w:before="60" w:after="40"/>
      </w:pPr>
      <w:r>
        <w:rPr>
          <w:b w:val="1"/>
          <w:bCs w:val="1"/>
        </w:rPr>
        <w:t xml:space="preserve">Характеристика профессиональной деятельности выпускников</w:t>
      </w:r>
    </w:p>
    <w:p>
      <w:pPr>
        <w:spacing w:before="60" w:after="80"/>
      </w:pPr>
      <w:r>
        <w:rPr/>
        <w:t xml:space="preserve">Профессиональный стандарт / иные квалификационные требования: [ПРОФСТАНДАРТ / КВАЛИФ. ТРЕБОВАНИЯ — ТРЕБУЕТ УТОЧНЕНИЯ]</w:t>
      </w:r>
    </w:p>
    <w:p>
      <w:pPr>
        <w:spacing w:before="40" w:after="40"/>
      </w:pPr>
      <w:r>
        <w:rPr/>
        <w:t xml:space="preserve">Перечень формируемых / совершенствуемых профессиональных компетенций:</w:t>
      </w:r>
    </w:p>
    <w:p>
      <w:pPr>
        <w:numPr>
          <w:ilvl w:val="0"/>
          <w:numId w:val="3"/>
        </w:numPr>
      </w:pPr>
      <w:r>
        <w:rPr/>
        <w:t xml:space="preserve">ПК-1 — Способен выявлять признаки профессионального выгорания и фиксировать факторы риска</w:t>
      </w:r>
    </w:p>
    <w:p>
      <w:pPr>
        <w:numPr>
          <w:ilvl w:val="0"/>
          <w:numId w:val="3"/>
        </w:numPr>
      </w:pPr>
      <w:r>
        <w:rPr/>
        <w:t xml:space="preserve">ПК-2 — Способен планировать профилактические меры на уровне рабочей группы</w:t>
      </w:r>
    </w:p>
    <w:p>
      <w:pPr>
        <w:spacing w:before="120" w:after="60"/>
      </w:pPr>
      <w:r>
        <w:rPr>
          <w:b w:val="1"/>
          <w:bCs w:val="1"/>
        </w:rPr>
        <w:t xml:space="preserve">Тип и направленность программы</w:t>
      </w:r>
    </w:p>
    <w:p>
      <w:pPr>
        <w:spacing w:after="60"/>
      </w:pPr>
      <w:r>
        <w:rPr/>
        <w:t xml:space="preserve">Тип: дополнительная профессиональная программа повышения квалификации.</w:t>
      </w:r>
    </w:p>
    <w:p>
      <w:pPr>
        <w:spacing w:after="120"/>
      </w:pPr>
      <w:r>
        <w:rPr/>
        <w:t xml:space="preserve">Направленность: совершенствование профессиональных компетенций в рамках имеющейся квалификации по тематике программы.</w:t>
      </w:r>
    </w:p>
    <w:p>
      <w:pPr>
        <w:spacing w:after="60"/>
      </w:pPr>
      <w:r>
        <w:rPr>
          <w:b w:val="1"/>
          <w:bCs w:val="1"/>
        </w:rPr>
        <w:t xml:space="preserve">Актуальность и профессиональная потребность</w:t>
      </w:r>
    </w:p>
    <w:p>
      <w:pPr>
        <w:spacing w:after="120"/>
      </w:pPr>
      <w:r>
        <w:rPr/>
        <w:t xml:space="preserve">[АКТУАЛЬНОСТЬ / ПРОФЕССИОНАЛЬНАЯ ПОТРЕБНОСТЬ — ТРЕБУЕТ УТОЧНЕНИЯ]</w:t>
      </w:r>
    </w:p>
    <w:p>
      <w:pPr>
        <w:spacing w:after="60"/>
      </w:pPr>
      <w:r>
        <w:rPr>
          <w:b w:val="1"/>
          <w:bCs w:val="1"/>
        </w:rPr>
        <w:t xml:space="preserve">Категория слушателей</w:t>
      </w:r>
    </w:p>
    <w:p>
      <w:pPr>
        <w:spacing w:after="60"/>
      </w:pPr>
      <w:r>
        <w:rPr/>
        <w:t xml:space="preserve">Методисты и специалисты учебных центров</w:t>
      </w:r>
    </w:p>
    <w:p>
      <w:pPr>
        <w:spacing w:after="120"/>
      </w:pPr>
      <w:r>
        <w:rPr/>
        <w:t xml:space="preserve">К освоению программы допускаются лица, имеющие либо получающие среднее профессиональное и (или) высшее образование.</w:t>
      </w:r>
    </w:p>
    <w:p>
      <w:pPr>
        <w:spacing w:after="60"/>
      </w:pPr>
      <w:r>
        <w:rPr>
          <w:b w:val="1"/>
          <w:bCs w:val="1"/>
        </w:rPr>
        <w:t xml:space="preserve">Требования к поступающим</w:t>
      </w:r>
    </w:p>
    <w:p>
      <w:pPr>
        <w:spacing w:after="120"/>
      </w:pPr>
      <w:r>
        <w:rPr/>
        <w:t xml:space="preserve">[ТРЕБОВАНИЯ К ПОСТУПАЮЩИМ — ТРЕБУЕТ УТОЧНЕНИЯ]</w:t>
      </w:r>
    </w:p>
    <w:p>
      <w:pPr>
        <w:spacing w:after="60"/>
      </w:pPr>
      <w:r>
        <w:rPr>
          <w:b w:val="1"/>
          <w:bCs w:val="1"/>
        </w:rPr>
        <w:t xml:space="preserve">Объём и срок освоения</w:t>
      </w:r>
    </w:p>
    <w:p>
      <w:pPr>
        <w:spacing w:after="40"/>
      </w:pPr>
      <w:r>
        <w:rPr/>
        <w:t xml:space="preserve">Объём программы составляет 36 академических часов.</w:t>
      </w:r>
    </w:p>
    <w:p>
      <w:pPr>
        <w:spacing w:after="40"/>
      </w:pPr>
      <w:r>
        <w:rPr/>
        <w:t xml:space="preserve">Срок освоения программы — 14 дн. (уточняется календарным учебным графиком).</w:t>
      </w:r>
    </w:p>
    <w:p>
      <w:pPr>
        <w:spacing w:after="120"/>
      </w:pPr>
      <w:r>
        <w:rPr/>
        <w:t xml:space="preserve">Режим занятий: [РЕЖИМ ЗАНЯТИЙ — ТРЕБУЕТ УТОЧНЕНИЯ]</w:t>
      </w:r>
    </w:p>
    <w:p>
      <w:pPr>
        <w:spacing w:after="60"/>
      </w:pPr>
      <w:r>
        <w:rPr>
          <w:b w:val="1"/>
          <w:bCs w:val="1"/>
        </w:rPr>
        <w:t xml:space="preserve">Форма обучения</w:t>
      </w:r>
    </w:p>
    <w:p>
      <w:pPr>
        <w:spacing w:after="60"/>
      </w:pPr>
      <w:r>
        <w:rPr/>
        <w:t xml:space="preserve">Форма обучения: blended.</w:t>
      </w:r>
    </w:p>
    <w:p>
      <w:pPr>
        <w:spacing w:after="60"/>
      </w:pPr>
      <w:r>
        <w:rPr>
          <w:b w:val="1"/>
          <w:bCs w:val="1"/>
        </w:rPr>
        <w:t xml:space="preserve">Применение электронного обучения и ДОТ</w:t>
      </w:r>
    </w:p>
    <w:p>
      <w:pPr>
        <w:spacing w:after="120"/>
      </w:pPr>
      <w:r>
        <w:rPr/>
        <w:t xml:space="preserve">Применение ЭО и ДОТ: по решению организации и модели реализации программы (не является самостоятельной формой обучения).</w:t>
      </w:r>
    </w:p>
    <w:p>
      <w:pPr>
        <w:spacing w:after="60"/>
      </w:pPr>
      <w:r>
        <w:rPr>
          <w:b w:val="1"/>
          <w:bCs w:val="1"/>
        </w:rPr>
        <w:t xml:space="preserve">Документ, выдаваемый по итогам обучения</w:t>
      </w:r>
    </w:p>
    <w:p>
      <w:pPr>
        <w:spacing w:after="200"/>
      </w:pPr>
      <w:r>
        <w:rPr/>
        <w:t xml:space="preserve">Лицам, успешно освоившим программу и прошедшим итоговую аттестацию, выдаётся удостоверение о повышении квалификации установленного организацией образца.</w:t>
      </w:r>
    </w:p>
    <w:p>
      <w:pPr>
        <w:pStyle w:val="Heading1"/>
      </w:pPr>
      <w:bookmarkStart w:id="2" w:name="_Toc2"/>
      <w:r>
        <w:t>2. Цель и планируемые результаты обучения</w:t>
      </w:r>
      <w:bookmarkEnd w:id="2"/>
    </w:p>
    <w:p>
      <w:pPr>
        <w:spacing w:after="60"/>
      </w:pPr>
      <w:r>
        <w:rPr>
          <w:b w:val="1"/>
          <w:bCs w:val="1"/>
        </w:rPr>
        <w:t xml:space="preserve">Цель реализации программы</w:t>
      </w:r>
    </w:p>
    <w:p>
      <w:pPr>
        <w:spacing w:after="60"/>
      </w:pPr>
      <w:r>
        <w:rPr/>
        <w:t xml:space="preserve">Сформировать у слушателей способность выявлять признаки профессионального выгорания и планировать меры профилактики в рабочей среде.</w:t>
      </w:r>
    </w:p>
    <w:p>
      <w:pPr>
        <w:spacing w:after="120"/>
      </w:pPr>
      <w:r>
        <w:rPr>
          <w:sz w:val="20"/>
          <w:szCs w:val="20"/>
          <w:i w:val="1"/>
          <w:iCs w:val="1"/>
        </w:rPr>
        <w:t xml:space="preserve">Цель описывает итоговое профессиональное изменение слушателя в рамках имеющейся квалификации (программа повышения квалификации).</w:t>
      </w:r>
    </w:p>
    <w:p>
      <w:pPr>
        <w:spacing w:after="120"/>
      </w:pPr>
      <w:r>
        <w:rPr>
          <w:sz w:val="20"/>
          <w:szCs w:val="20"/>
          <w:i w:val="1"/>
          <w:iCs w:val="1"/>
        </w:rPr>
        <w:t xml:space="preserve">Профессиональные компетенции и результаты сформированы автоматически и требуют методической правки: формулировки ПК — «действие + объект + контекст»; статус — совершенствуемая/осваиваемая; без признаков новой квалификации.</w:t>
      </w:r>
    </w:p>
    <w:p>
      <w:pPr>
        <w:spacing w:after="120"/>
      </w:pPr>
      <w:r>
        <w:rPr/>
        <w:t xml:space="preserve">Основание профессиональных требований: [ПРОФСТАНДАРТ / КВАЛИФ. ТРЕБОВАНИЯ — ТРЕБУЕТ УТОЧНЕНИЯ]</w:t>
      </w:r>
    </w:p>
    <w:p>
      <w:pPr>
        <w:spacing w:after="60"/>
      </w:pPr>
      <w:r>
        <w:rPr>
          <w:b w:val="1"/>
          <w:bCs w:val="1"/>
        </w:rPr>
        <w:t xml:space="preserve">Профессиональные компетенции и планируемые результаты</w:t>
      </w:r>
    </w:p>
    <w:p>
      <w:pPr>
        <w:spacing w:after="40"/>
      </w:pPr>
      <w:r>
        <w:rPr>
          <w:b w:val="1"/>
          <w:bCs w:val="1"/>
        </w:rPr>
        <w:t xml:space="preserve">ПК-1. Способен выявлять признаки профессионального выгорания и фиксировать факторы риска</w:t>
      </w:r>
    </w:p>
    <w:p>
      <w:pPr>
        <w:spacing w:after="40"/>
      </w:pPr>
      <w:r>
        <w:rPr>
          <w:b w:val="1"/>
          <w:bCs w:val="1"/>
        </w:rPr>
        <w:t xml:space="preserve">ПК-2. Способен планировать профилактические меры на уровне рабочей группы</w:t>
      </w:r>
    </w:p>
    <w:p>
      <w:pPr>
        <w:spacing w:before="80" w:after="60"/>
      </w:pPr>
      <w:r>
        <w:rPr>
          <w:b w:val="1"/>
          <w:bCs w:val="1"/>
        </w:rPr>
        <w:t xml:space="preserve">Слушатель должен знать (сводка):</w:t>
      </w:r>
    </w:p>
    <w:p>
      <w:pPr>
        <w:numPr>
          <w:ilvl w:val="0"/>
          <w:numId w:val="3"/>
        </w:numPr>
      </w:pPr>
      <w:r>
        <w:rPr/>
        <w:t xml:space="preserve">Ключевые признаки профессионального выгорания</w:t>
      </w:r>
    </w:p>
    <w:p>
      <w:pPr>
        <w:numPr>
          <w:ilvl w:val="0"/>
          <w:numId w:val="3"/>
        </w:numPr>
      </w:pPr>
      <w:r>
        <w:rPr/>
        <w:t xml:space="preserve">Факторы риска на уровне организации и группы</w:t>
      </w:r>
    </w:p>
    <w:p>
      <w:pPr>
        <w:spacing w:before="120" w:after="60"/>
      </w:pPr>
      <w:r>
        <w:rPr>
          <w:b w:val="1"/>
          <w:bCs w:val="1"/>
        </w:rPr>
        <w:t xml:space="preserve">Слушатель должен уметь (сводка):</w:t>
      </w:r>
    </w:p>
    <w:p>
      <w:pPr>
        <w:numPr>
          <w:ilvl w:val="0"/>
          <w:numId w:val="3"/>
        </w:numPr>
      </w:pPr>
      <w:r>
        <w:rPr/>
        <w:t xml:space="preserve">Применять чек-лист скрининга рисков</w:t>
      </w:r>
    </w:p>
    <w:p>
      <w:pPr>
        <w:numPr>
          <w:ilvl w:val="0"/>
          <w:numId w:val="3"/>
        </w:numPr>
      </w:pPr>
      <w:r>
        <w:rPr/>
        <w:t xml:space="preserve">Сформировать план профилактических мер</w:t>
      </w:r>
    </w:p>
    <w:p>
      <w:pPr>
        <w:spacing w:before="120" w:after="60"/>
      </w:pPr>
      <w:r>
        <w:rPr>
          <w:b w:val="1"/>
          <w:bCs w:val="1"/>
        </w:rPr>
        <w:t xml:space="preserve">Планируемые результаты обучения (детализация)</w:t>
      </w:r>
    </w:p>
    <w:p>
      <w:pPr>
        <w:spacing w:after="40"/>
      </w:pPr>
      <w:r>
        <w:rPr/>
        <w:t xml:space="preserve">K1. Перечисляет ключевые признаки профессионального выгорания</w:t>
      </w:r>
    </w:p>
    <w:p>
      <w:pPr>
        <w:spacing w:after="40"/>
      </w:pPr>
      <w:r>
        <w:rPr/>
        <w:t xml:space="preserve">S1. Составляет план профилактических мер для рабочей группы</w:t>
      </w:r>
    </w:p>
    <w:p/>
    <w:p>
      <w:pPr>
        <w:pStyle w:val="Heading1"/>
      </w:pPr>
      <w:bookmarkStart w:id="3" w:name="_Toc3"/>
      <w:r>
        <w:t>3. Учебный план</w:t>
      </w:r>
      <w:bookmarkEnd w:id="3"/>
    </w:p>
    <w:p>
      <w:pPr>
        <w:spacing w:after="120"/>
      </w:pPr>
      <w:r>
        <w:rPr/>
        <w:t xml:space="preserve">Учебный план является единым источником данных о трудоёмкости программы. Общий объём: 36 академических часов (диапазон продукта 16–72; 16 — минимальный срок ПК по приказу № 266). Форма обучения: blended; итоговая аттестация: case. Итоговая аттестация включается в общий объём отдельной строкой. Промежуточная аттестация после модуля — при наличии достаточной трудоёмкости и оценочных материалов.</w:t>
      </w:r>
    </w:p>
    <w:tbl>
      <w:tblGrid>
        <w:gridCol w:w="500" w:type="dxa"/>
        <w:gridCol w:w="3400" w:type="dxa"/>
        <w:gridCol w:w="800" w:type="dxa"/>
        <w:gridCol w:w="800" w:type="dxa"/>
        <w:gridCol w:w="800" w:type="dxa"/>
        <w:gridCol w:w="800" w:type="dxa"/>
        <w:gridCol w:w="800" w:type="dxa"/>
        <w:gridCol w:w="1100" w:type="dxa"/>
      </w:tblGrid>
      <w:tblPr>
        <w:tblW w:w="0" w:type="auto"/>
        <w:tblLayout w:type="autofit"/>
        <w:tblCellMar>
          <w:top w:w="40" w:type="dxa"/>
          <w:left w:w="40" w:type="dxa"/>
          <w:right w:w="40" w:type="dxa"/>
          <w:bottom w:w="4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№</w:t>
            </w:r>
          </w:p>
        </w:tc>
        <w:tc>
          <w:tcPr>
            <w:tcW w:w="34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Наименование раздела / модуля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Лекции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Практика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Самост.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Аттест.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Всего</w:t>
            </w:r>
          </w:p>
        </w:tc>
        <w:tc>
          <w:tcPr>
            <w:tcW w:w="11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ПК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3400" w:type="dxa"/>
            <w:noWrap/>
          </w:tcPr>
          <w:p>
            <w:pPr/>
            <w:r>
              <w:rPr>
                <w:sz w:val="18"/>
                <w:szCs w:val="18"/>
              </w:rPr>
              <w:t xml:space="preserve">Признаки и факторы риска выгорания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16</w:t>
            </w:r>
          </w:p>
        </w:tc>
        <w:tc>
          <w:tcPr>
            <w:tcW w:w="1100" w:type="dxa"/>
            <w:noWrap/>
          </w:tcPr>
          <w:p>
            <w:pPr/>
            <w:r>
              <w:rPr>
                <w:sz w:val="18"/>
                <w:szCs w:val="18"/>
              </w:rPr>
              <w:t xml:space="preserve">ПК-1, ПК-2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3400" w:type="dxa"/>
            <w:noWrap/>
          </w:tcPr>
          <w:p>
            <w:pPr/>
            <w:r>
              <w:rPr>
                <w:sz w:val="18"/>
                <w:szCs w:val="18"/>
              </w:rPr>
              <w:t xml:space="preserve">Скрининг и приоритизация рисков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16</w:t>
            </w:r>
          </w:p>
        </w:tc>
        <w:tc>
          <w:tcPr>
            <w:tcW w:w="1100" w:type="dxa"/>
            <w:noWrap/>
          </w:tcPr>
          <w:p>
            <w:pPr/>
            <w:r>
              <w:rPr>
                <w:sz w:val="18"/>
                <w:szCs w:val="18"/>
              </w:rPr>
              <w:t xml:space="preserve">ПК-1, ПК-2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w="3400" w:type="dxa"/>
            <w:noWrap/>
          </w:tcPr>
          <w:p>
            <w:pPr/>
            <w:r>
              <w:rPr>
                <w:sz w:val="18"/>
                <w:szCs w:val="18"/>
              </w:rPr>
              <w:t xml:space="preserve">Итоговая аттестация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1100" w:type="dxa"/>
            <w:noWrap/>
          </w:tcPr>
          <w:p>
            <w:pPr/>
            <w:r>
              <w:rPr>
                <w:sz w:val="18"/>
                <w:szCs w:val="18"/>
              </w:rPr>
              <w:t xml:space="preserve">ПК-1, ПК-2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/>
            </w:r>
          </w:p>
        </w:tc>
        <w:tc>
          <w:tcPr>
            <w:tcW w:w="34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Итого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12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12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8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4</w:t>
            </w:r>
          </w:p>
        </w:tc>
        <w:tc>
          <w:tcPr>
            <w:tcW w:w="8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36</w:t>
            </w:r>
          </w:p>
        </w:tc>
        <w:tc>
          <w:tcPr>
            <w:tcW w:w="1100" w:type="dxa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/>
            </w:r>
          </w:p>
        </w:tc>
      </w:tr>
    </w:tbl>
    <w:p/>
    <w:p>
      <w:pPr>
        <w:spacing w:after="60"/>
      </w:pPr>
      <w:r>
        <w:rPr>
          <w:b w:val="1"/>
          <w:bCs w:val="1"/>
        </w:rPr>
        <w:t xml:space="preserve">Модули программы</w:t>
      </w:r>
    </w:p>
    <w:p>
      <w:pPr>
        <w:spacing w:after="40"/>
      </w:pPr>
      <w:r>
        <w:rPr>
          <w:b w:val="1"/>
          <w:bCs w:val="1"/>
        </w:rPr>
        <w:t xml:space="preserve">M1. Признаки и факторы риска выгорания</w:t>
      </w:r>
    </w:p>
    <w:p>
      <w:pPr>
        <w:spacing w:after="80"/>
      </w:pPr>
      <w:r>
        <w:rPr/>
        <w:t xml:space="preserve">Ориентироваться в картине феномена</w:t>
      </w:r>
    </w:p>
    <w:p>
      <w:pPr>
        <w:spacing w:after="40"/>
      </w:pPr>
      <w:r>
        <w:rPr>
          <w:b w:val="1"/>
          <w:bCs w:val="1"/>
        </w:rPr>
        <w:t xml:space="preserve">M2. Скрининг и приоритизация рисков</w:t>
      </w:r>
    </w:p>
    <w:p>
      <w:pPr>
        <w:spacing w:after="80"/>
      </w:pPr>
      <w:r>
        <w:rPr/>
        <w:t xml:space="preserve">Применять рабочий чек-лист</w:t>
      </w:r>
    </w:p>
    <w:p>
      <w:pPr>
        <w:pStyle w:val="Heading1"/>
      </w:pPr>
      <w:bookmarkStart w:id="4" w:name="_Toc4"/>
      <w:r>
        <w:t>4. Календарный учебный график</w:t>
      </w:r>
      <w:bookmarkEnd w:id="4"/>
    </w:p>
    <w:p>
      <w:pPr>
        <w:spacing w:after="120"/>
      </w:pPr>
      <w:r>
        <w:rPr/>
        <w:t xml:space="preserve">Календарный учебный график переводит учебный план во временную последовательность освоения. Объём программы — 36 академических часов; срок освоения — 14 дн. до 3 ак. ч. в учебный день (ориентир продукта, не федеральная норма). Форма обучения: blended. Ниже приведён типовой график. Конкретные даты начала и окончания обучения устанавливаются для каждой учебной группы распорядительным документом организации.</w:t>
      </w:r>
    </w:p>
    <w:tbl>
      <w:tblGrid>
        <w:gridCol w:w="1200" w:type="dxa"/>
        <w:gridCol w:w="5500" w:type="dxa"/>
        <w:gridCol w:w="1200" w:type="dxa"/>
      </w:tblGrid>
      <w:tblPr>
        <w:tblW w:w="0" w:type="auto"/>
        <w:tblLayout w:type="autofit"/>
        <w:tblCellMar>
          <w:top w:w="40" w:type="dxa"/>
          <w:left w:w="40" w:type="dxa"/>
          <w:right w:w="40" w:type="dxa"/>
          <w:bottom w:w="4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1200" w:type="dxa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День</w:t>
            </w:r>
          </w:p>
        </w:tc>
        <w:tc>
          <w:tcPr>
            <w:tcW w:w="5500" w:type="dxa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Модуль / этап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Часы</w:t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5500" w:type="dxa"/>
            <w:noWrap/>
          </w:tcPr>
          <w:p>
            <w:pPr/>
            <w:r>
              <w:rPr>
                <w:sz w:val="20"/>
                <w:szCs w:val="20"/>
              </w:rPr>
              <w:t xml:space="preserve">Признаки и факторы риска выгорания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20"/>
                <w:szCs w:val="20"/>
              </w:rPr>
              <w:t xml:space="preserve">16</w:t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5500" w:type="dxa"/>
            <w:noWrap/>
          </w:tcPr>
          <w:p>
            <w:pPr/>
            <w:r>
              <w:rPr>
                <w:sz w:val="20"/>
                <w:szCs w:val="20"/>
              </w:rPr>
              <w:t xml:space="preserve">Скрининг и приоритизация рисков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20"/>
                <w:szCs w:val="20"/>
              </w:rPr>
              <w:t xml:space="preserve">16</w:t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5500" w:type="dxa"/>
            <w:noWrap/>
          </w:tcPr>
          <w:p>
            <w:pPr/>
            <w:r>
              <w:rPr>
                <w:sz w:val="20"/>
                <w:szCs w:val="20"/>
              </w:rPr>
              <w:t xml:space="preserve">Итоговая аттестация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20"/>
                <w:szCs w:val="20"/>
              </w:rPr>
              <w:t xml:space="preserve">4</w:t>
            </w:r>
          </w:p>
        </w:tc>
      </w:tr>
    </w:tbl>
    <w:p>
      <w:pPr>
        <w:spacing w:before="80" w:after="120"/>
      </w:pPr>
      <w:r>
        <w:rPr>
          <w:sz w:val="18"/>
          <w:szCs w:val="18"/>
          <w:i w:val="1"/>
          <w:iCs w:val="1"/>
        </w:rPr>
        <w:t xml:space="preserve">Часы этапов совпадают с учебным планом. Итоговая аттестация проводится после освоения обязательного содержания в пределах срока обучения. Расписание занятий конкретной группы (время, преподаватели, аудитории/ссылки) оформляется отдельно.</w:t>
      </w:r>
    </w:p>
    <w:p/>
    <w:p>
      <w:pPr>
        <w:pStyle w:val="Heading1"/>
      </w:pPr>
      <w:bookmarkStart w:id="5" w:name="_Toc5"/>
      <w:r>
        <w:t>5. Рабочая программа</w:t>
      </w:r>
      <w:bookmarkEnd w:id="5"/>
    </w:p>
    <w:p>
      <w:pPr>
        <w:spacing w:after="120"/>
      </w:pPr>
      <w:r>
        <w:rPr/>
        <w:t xml:space="preserve">Рабочие программы учебных модулей раскрывают содержание, учебные действия и задания, обеспечивающие закреплённые за модулями планируемые результаты. Наименования и трудоёмкость модулей соответствуют учебному плану. Для компактной ДПП ПК содержание представлено единым разделом с последовательным раскрытием модулей.</w:t>
      </w:r>
    </w:p>
    <w:p>
      <w:pPr>
        <w:spacing w:after="200"/>
      </w:pPr>
      <w:r>
        <w:rPr>
          <w:i w:val="1"/>
          <w:iCs w:val="1"/>
        </w:rPr>
        <w:t xml:space="preserve">Подробное содержание модулей включается в полный комплект документа после генерации рабочих программ.</w:t>
      </w:r>
    </w:p>
    <w:p>
      <w:pPr>
        <w:pStyle w:val="Heading1"/>
      </w:pPr>
      <w:bookmarkStart w:id="6" w:name="_Toc6"/>
      <w:r>
        <w:t>6. Формы аттестации и оценочные материалы</w:t>
      </w:r>
      <w:bookmarkEnd w:id="6"/>
    </w:p>
    <w:p>
      <w:pPr>
        <w:spacing w:after="100"/>
      </w:pPr>
      <w:r>
        <w:rPr/>
        <w:t xml:space="preserve">Раздел определяет процедуры и оценочные материалы, по которым устанавливается достижение планируемых результатов обучения. Итоговая аттестация обязательна, проводится после освоения обязательного содержания и включается в общий объём учебного плана. Текущий контроль и промежуточная аттестация (при наличии в учебном плане) не заменяют итоговую аттестацию. Форма аттестации должна соответствовать характеру результатов: практические умения проверяются выполнением действия или созданием продукта.</w:t>
      </w:r>
    </w:p>
    <w:p>
      <w:pPr>
        <w:spacing w:after="100"/>
      </w:pPr>
      <w:r>
        <w:rPr/>
        <w:t xml:space="preserve">Итоговая аттестация проводится в форме: case. Ниже приведены процедура, критерии и оценочные материалы. Конкретные правила допуска, пересдачи и идентификации слушателя при ЭО/ДОТ устанавливаются локальными актами организации.</w:t>
      </w:r>
    </w:p>
    <w:p>
      <w:pPr>
        <w:spacing w:after="100"/>
      </w:pPr>
      <w:r>
        <w:rPr/>
        <w:t xml:space="preserve">Оценочные материалы (банк заданий / критерии) утверждаются образовательной организацией и прилагаются к программе.</w:t>
      </w:r>
    </w:p>
    <w:p>
      <w:pPr>
        <w:pStyle w:val="Heading1"/>
      </w:pPr>
      <w:bookmarkStart w:id="7" w:name="_Toc7"/>
      <w:r>
        <w:t>7. Организационно-педагогические условия реализации программы</w:t>
      </w:r>
      <w:bookmarkEnd w:id="7"/>
    </w:p>
    <w:p>
      <w:pPr>
        <w:spacing w:after="120"/>
      </w:pPr>
      <w:r>
        <w:rPr/>
        <w:t xml:space="preserve">Раздел подтверждает реализуемость программы в заявленных объёме, форме и сроке: кадровые, материально-технические, информационные и методические условия должны быть достаточны для достижения планируемых результатов. Персональный состав педагогических работников определяется организацией при реализации программы с учётом требований к функциям (теория, практика, аттестация, сопровождение при ЭО/ДОТ). Конкретные фамилии, учёные степени и места работы в проекте программы не указываются.</w:t>
      </w:r>
    </w:p>
    <w:p>
      <w:pPr>
        <w:spacing w:after="200"/>
      </w:pPr>
      <w:r>
        <w:rPr/>
        <w:t xml:space="preserve">Реализация программы осуществляется организацией [ПОЛНОЕ НАИМЕНОВАНИЕ ОРГАНИЗАЦИИ]. Для реализации необходимо обеспечить кадровые, материально-технические и информационные условия, достаточные для видов занятий учебного плана, практических заданий и итоговой аттестации. При применении ЭО и ДОТ должна функционировать электронная информационно-образовательная среда (доступ к материалам, выполнение и передача заданий, взаимодействие с преподавателем, фиксация результатов и проведение контроля). Детализация условий фиксируется локальными актами организации.</w:t>
      </w:r>
    </w:p>
    <w:p>
      <w:pPr>
        <w:pStyle w:val="Heading1"/>
      </w:pPr>
      <w:bookmarkStart w:id="8" w:name="_Toc8"/>
      <w:r>
        <w:t>8. Список литературы и информационных ресурсов</w:t>
      </w:r>
      <w:bookmarkEnd w:id="8"/>
    </w:p>
    <w:p>
      <w:pPr>
        <w:spacing w:after="100"/>
      </w:pPr>
      <w:r>
        <w:rPr/>
        <w:t xml:space="preserve">Раздел содержит источники, необходимые для освоения программы, выполнения заданий и подготовки к итоговой аттестации. Список должен быть компактным и реально используемым; библиографические реквизиты и доступность для слушателей подлежат проверке образовательной организацией.</w:t>
      </w:r>
    </w:p>
    <w:p>
      <w:pPr>
        <w:spacing w:after="60"/>
      </w:pPr>
      <w:r>
        <w:rPr>
          <w:b w:val="1"/>
          <w:bCs w:val="1"/>
        </w:rPr>
        <w:t xml:space="preserve">Нормативные правовые акты:</w:t>
      </w:r>
    </w:p>
    <w:p>
      <w:pPr>
        <w:numPr>
          <w:ilvl w:val="0"/>
          <w:numId w:val="3"/>
        </w:numPr>
      </w:pPr>
      <w:r>
        <w:rPr/>
        <w:t xml:space="preserve">ФЗ от 29.12.2012 № 273-ФЗ «Об образовании в РФ»</w:t>
      </w:r>
    </w:p>
    <w:p>
      <w:pPr>
        <w:numPr>
          <w:ilvl w:val="0"/>
          <w:numId w:val="3"/>
        </w:numPr>
      </w:pPr>
      <w:r>
        <w:rPr/>
        <w:t xml:space="preserve">Приказ Минобрнауки России от 24.03.2025 № 266</w:t>
      </w:r>
    </w:p>
    <w:p>
      <w:pPr>
        <w:spacing w:before="120" w:after="100"/>
      </w:pPr>
      <w:r>
        <w:rPr>
          <w:sz w:val="20"/>
          <w:szCs w:val="20"/>
          <w:i w:val="1"/>
          <w:iCs w:val="1"/>
        </w:rPr>
        <w:t xml:space="preserve">Список требует методической и библиографической проверки; издания и нормативные акты актуализируются образовательной организацией на дату утверждения программы. Источники с непроверенными реквизитами не используются как утверждённые.</w:t>
      </w:r>
    </w:p>
    <w:p/>
    <w:p>
      <w:pPr>
        <w:spacing w:before="200"/>
      </w:pPr>
      <w:r>
        <w:rPr>
          <w:sz w:val="20"/>
          <w:szCs w:val="20"/>
          <w:i w:val="1"/>
          <w:iCs w:val="1"/>
        </w:rPr>
        <w:t xml:space="preserve">Демонстрационный проект документа AI-методиста ДПО. Не является утверждённой образовательной программой. Наименования организации, адреса, лицензии и ФИО — плейсхолдеры. Итоговый комплект формируется по параметрам вашей программы и требует методической проверки и утверждения образовательной организацией.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F31F19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40" w:after="120"/>
    </w:pPr>
    <w:rPr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spacing w:before="160" w:after="8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2026-08-22T17:34:24+00:00</dcterms:created>
  <dcterms:modified xsi:type="dcterms:W3CDTF">2026-08-22T17:34:24+00:00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